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976D7F" w:rsidRPr="00C20674" w:rsidRDefault="005937BC" w:rsidP="00C20674">
      <w:pPr>
        <w:spacing w:line="240" w:lineRule="auto"/>
        <w:jc w:val="right"/>
        <w:rPr>
          <w:shd w:val="clear" w:color="auto" w:fill="FF9900"/>
        </w:rPr>
      </w:pPr>
      <w:r>
        <w:t>Warszawa, 22 lutego 2022 r.</w:t>
      </w:r>
    </w:p>
    <w:p w:rsidR="00976D7F" w:rsidRDefault="00976D7F">
      <w:pPr>
        <w:spacing w:line="240" w:lineRule="auto"/>
        <w:jc w:val="both"/>
      </w:pPr>
    </w:p>
    <w:p w:rsidR="00976D7F" w:rsidRDefault="005937BC">
      <w:pPr>
        <w:tabs>
          <w:tab w:val="left" w:pos="4980"/>
        </w:tabs>
        <w:spacing w:line="240" w:lineRule="auto"/>
        <w:jc w:val="center"/>
        <w:rPr>
          <w:rFonts w:ascii="Oswald" w:eastAsia="Oswald" w:hAnsi="Oswald" w:cs="Oswald"/>
          <w:b/>
          <w:sz w:val="26"/>
          <w:szCs w:val="26"/>
        </w:rPr>
      </w:pPr>
      <w:r>
        <w:rPr>
          <w:rFonts w:ascii="Oswald" w:eastAsia="Oswald" w:hAnsi="Oswald" w:cs="Oswald"/>
          <w:b/>
          <w:sz w:val="26"/>
          <w:szCs w:val="26"/>
        </w:rPr>
        <w:t>Wymiar sprawiedliwości ślepy na jedno oko</w:t>
      </w:r>
    </w:p>
    <w:p w:rsidR="00976D7F" w:rsidRDefault="00976D7F">
      <w:pPr>
        <w:tabs>
          <w:tab w:val="left" w:pos="4980"/>
        </w:tabs>
        <w:spacing w:line="240" w:lineRule="auto"/>
        <w:jc w:val="center"/>
        <w:rPr>
          <w:rFonts w:ascii="Oswald" w:eastAsia="Oswald" w:hAnsi="Oswald" w:cs="Oswald"/>
          <w:b/>
          <w:sz w:val="26"/>
          <w:szCs w:val="26"/>
        </w:rPr>
      </w:pPr>
    </w:p>
    <w:p w:rsidR="00976D7F" w:rsidRDefault="005937BC">
      <w:pPr>
        <w:tabs>
          <w:tab w:val="left" w:pos="4980"/>
        </w:tabs>
        <w:spacing w:line="240" w:lineRule="auto"/>
        <w:jc w:val="both"/>
      </w:pPr>
      <w:r>
        <w:t>Z nowego raportu Fundacji Court Watch Polska pt. „Wymiar sprawiedliwości wobec przemocy domowej” wynika, że policja, prokuratura</w:t>
      </w:r>
      <w:r>
        <w:t xml:space="preserve"> i sądy traktują przypadki przemocy domowej rutynowo, a postępowania wobec sprawców przebiegają często półautomatycznie. Instytucje i organy nie współpracują ze sobą w stopniu wystarczającym, a brak komunikacji pomiędzy sądami a ośrodkami pomocy praktyczni</w:t>
      </w:r>
      <w:r>
        <w:t xml:space="preserve">e uniemożliwia efektywną terapię sprawców i pomoc ofiarom. </w:t>
      </w:r>
    </w:p>
    <w:p w:rsidR="00976D7F" w:rsidRDefault="00976D7F">
      <w:pPr>
        <w:tabs>
          <w:tab w:val="left" w:pos="4980"/>
        </w:tabs>
        <w:spacing w:line="240" w:lineRule="auto"/>
        <w:jc w:val="both"/>
      </w:pPr>
    </w:p>
    <w:p w:rsidR="00976D7F" w:rsidRDefault="005937BC">
      <w:pPr>
        <w:spacing w:line="240" w:lineRule="auto"/>
        <w:jc w:val="both"/>
        <w:rPr>
          <w:b/>
          <w:sz w:val="20"/>
          <w:szCs w:val="20"/>
        </w:rPr>
      </w:pPr>
      <w:r>
        <w:rPr>
          <w:sz w:val="20"/>
          <w:szCs w:val="20"/>
        </w:rPr>
        <w:t>Badania Fundacji obejmowały akta 315 spraw i obserwacje 294 rozpraw z art. 207 kodeksu karnego – dotyczącego znęcania się nad osobą najbliższą. Fundacja sprawdziła również na reprezentatywnej pró</w:t>
      </w:r>
      <w:r>
        <w:rPr>
          <w:sz w:val="20"/>
          <w:szCs w:val="20"/>
        </w:rPr>
        <w:t>bie ogólnopolskiej, jaka jest świadomość społeczna w zakresie rozpoznawania przejawów przemocy, a także zweryfikowała, jakich rodzajów reakcji państwa oczekują na to przestępstwo Polacy. Dodatkowo badacze przeprowadzili wywiady pogłębione z trenerami i koo</w:t>
      </w:r>
      <w:r>
        <w:rPr>
          <w:sz w:val="20"/>
          <w:szCs w:val="20"/>
        </w:rPr>
        <w:t xml:space="preserve">rdynatorami programów korekcyjno-edukacyjnych oraz sędziami i kuratorami w celu rozpoznania zalet i ograniczeń stosowanych aktualnie form terapii sprawców przemocy domowej, jak również przyczyn rzadkiego kierowania na nie sprawców przemocy przez sędziów. </w:t>
      </w:r>
      <w:r>
        <w:rPr>
          <w:b/>
          <w:sz w:val="20"/>
          <w:szCs w:val="20"/>
        </w:rPr>
        <w:t>T</w:t>
      </w:r>
      <w:r>
        <w:rPr>
          <w:b/>
          <w:sz w:val="20"/>
          <w:szCs w:val="20"/>
        </w:rPr>
        <w:t>o największe tego typu badanie zrealizowane do tej pory w Polsce.</w:t>
      </w:r>
    </w:p>
    <w:p w:rsidR="00976D7F" w:rsidRDefault="00976D7F">
      <w:pPr>
        <w:spacing w:line="240" w:lineRule="auto"/>
        <w:jc w:val="both"/>
        <w:rPr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Sądy obojętne na alkoholizm sprawców</w:t>
      </w:r>
    </w:p>
    <w:p w:rsidR="00976D7F" w:rsidRDefault="00976D7F">
      <w:pPr>
        <w:spacing w:line="240" w:lineRule="auto"/>
        <w:jc w:val="both"/>
        <w:rPr>
          <w:b/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>W 79% analizowanych przypadków pojawił się wątek spożycia alkoholu przez sprawcę przemocy domowej</w:t>
      </w:r>
      <w:r>
        <w:rPr>
          <w:sz w:val="20"/>
          <w:szCs w:val="20"/>
        </w:rPr>
        <w:t>. Negatywne konsekwencje nadużywania pojawiały się zaz</w:t>
      </w:r>
      <w:r>
        <w:rPr>
          <w:sz w:val="20"/>
          <w:szCs w:val="20"/>
        </w:rPr>
        <w:t>wyczaj już w pierwszych słowach zeznań ofiar przemocy: „</w:t>
      </w:r>
      <w:r>
        <w:rPr>
          <w:i/>
          <w:sz w:val="20"/>
          <w:szCs w:val="20"/>
        </w:rPr>
        <w:t>Odkąd pamiętam nadużywał alkoholu. Ja natomiast nie piję wcale. Po alkoholu robi się agresywny. Wszczyna awantury, niszczy sprzęty domowe”;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„Z. pije więcej, dużo więcej. Czasami ma ciągi, że w ogóle n</w:t>
      </w:r>
      <w:r>
        <w:rPr>
          <w:i/>
          <w:sz w:val="20"/>
          <w:szCs w:val="20"/>
        </w:rPr>
        <w:t xml:space="preserve">ie trzeźwieje. (...) Z., jak jest pijany, to wszczyna awantury, bez żadnego powodu zaczyna mnie wyzywać.” </w:t>
      </w:r>
    </w:p>
    <w:p w:rsidR="00976D7F" w:rsidRDefault="00976D7F">
      <w:pPr>
        <w:spacing w:line="240" w:lineRule="auto"/>
        <w:jc w:val="both"/>
        <w:rPr>
          <w:i/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Jeśli dochodziło do zatrzymania osoby podejrzanej, w 64% przypadków znajdowała się ona pod wpływem alkoholu. Niestety tylko w 32% analizowanych w ba</w:t>
      </w:r>
      <w:r>
        <w:rPr>
          <w:sz w:val="20"/>
          <w:szCs w:val="20"/>
        </w:rPr>
        <w:t xml:space="preserve">daniu wyroków zobowiązano sprawcę do powstrzymywania się od picia alkoholu. Jeszcze mniej, bo zaledwie </w:t>
      </w:r>
      <w:r>
        <w:rPr>
          <w:b/>
          <w:sz w:val="20"/>
          <w:szCs w:val="20"/>
        </w:rPr>
        <w:t>w 14% badanych spraw, sprawcę skierowano na terapię uzależnień</w:t>
      </w:r>
      <w:r>
        <w:rPr>
          <w:sz w:val="20"/>
          <w:szCs w:val="20"/>
        </w:rPr>
        <w:t xml:space="preserve"> bądź tzw. oddziaływania korekcyjno-edukacyjne. Widać tu </w:t>
      </w:r>
      <w:r>
        <w:rPr>
          <w:b/>
          <w:sz w:val="20"/>
          <w:szCs w:val="20"/>
        </w:rPr>
        <w:t>dużą niekonsekwencję sądów</w:t>
      </w:r>
      <w:r>
        <w:rPr>
          <w:sz w:val="20"/>
          <w:szCs w:val="20"/>
        </w:rPr>
        <w:t>. Dostrz</w:t>
      </w:r>
      <w:r>
        <w:rPr>
          <w:sz w:val="20"/>
          <w:szCs w:val="20"/>
        </w:rPr>
        <w:t>egają one problem uzależnień sprawców, ale nie orzekają środków karnych, które mogłyby pomóc go rozwiązać. Same osoby pokrzywdzone natomiast często wskazują, że zależy im na odizolowaniu oskarżonego i zobowiązaniu go do podjęcia terapii uzależnień.</w:t>
      </w:r>
    </w:p>
    <w:p w:rsidR="00976D7F" w:rsidRDefault="00976D7F">
      <w:pPr>
        <w:spacing w:line="240" w:lineRule="auto"/>
        <w:jc w:val="both"/>
        <w:rPr>
          <w:sz w:val="20"/>
          <w:szCs w:val="20"/>
        </w:rPr>
      </w:pPr>
    </w:p>
    <w:p w:rsidR="00976D7F" w:rsidRDefault="005937BC">
      <w:pPr>
        <w:tabs>
          <w:tab w:val="left" w:pos="4980"/>
        </w:tabs>
        <w:spacing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Przemo</w:t>
      </w:r>
      <w:r>
        <w:rPr>
          <w:b/>
          <w:sz w:val="20"/>
          <w:szCs w:val="20"/>
        </w:rPr>
        <w:t xml:space="preserve">c wobec dzieci jest lekceważona przez wymiar sprawiedliwości </w:t>
      </w:r>
    </w:p>
    <w:p w:rsidR="00976D7F" w:rsidRDefault="00976D7F">
      <w:pPr>
        <w:tabs>
          <w:tab w:val="left" w:pos="4980"/>
        </w:tabs>
        <w:spacing w:line="240" w:lineRule="auto"/>
        <w:jc w:val="both"/>
        <w:rPr>
          <w:b/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Najczęściej do sądów trafiają sprawy, w których oskarżonym jest mężczyzna, a ofiarą jego obecna lub była partnerka. Niejednokrotnie również dorośli ludzie odpowiadają za znęcanie się nad swoimi</w:t>
      </w:r>
      <w:r>
        <w:rPr>
          <w:sz w:val="20"/>
          <w:szCs w:val="20"/>
        </w:rPr>
        <w:t xml:space="preserve"> rodzicami. Zaskakująco rzadko wymiar sprawiedliwości reaguje, gdy ofiarami przemocy są dzieci.</w:t>
      </w:r>
    </w:p>
    <w:p w:rsidR="00976D7F" w:rsidRDefault="00976D7F">
      <w:pPr>
        <w:spacing w:line="240" w:lineRule="auto"/>
        <w:jc w:val="both"/>
        <w:rPr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Jedynie w 5 z 316 analizowanych przez Fundację przypadków postępowanie było wszczynane ze względu na podejrzenie popełnienia przestępstwa </w:t>
      </w:r>
      <w:r>
        <w:rPr>
          <w:b/>
          <w:sz w:val="20"/>
          <w:szCs w:val="20"/>
        </w:rPr>
        <w:t xml:space="preserve">wyłącznie wobec osób </w:t>
      </w:r>
      <w:r>
        <w:rPr>
          <w:b/>
          <w:sz w:val="20"/>
          <w:szCs w:val="20"/>
        </w:rPr>
        <w:t>małoletnich</w:t>
      </w:r>
      <w:r>
        <w:rPr>
          <w:sz w:val="20"/>
          <w:szCs w:val="20"/>
        </w:rPr>
        <w:t xml:space="preserve">. W tych </w:t>
      </w:r>
      <w:r>
        <w:rPr>
          <w:sz w:val="20"/>
          <w:szCs w:val="20"/>
        </w:rPr>
        <w:lastRenderedPageBreak/>
        <w:t xml:space="preserve">sprawach proporcja płci oskarżonych była też inna: połowę z nich stanowiły kobiety. Zawiadomienie o możliwości popełnienia przestępstwa w powyższych przypadkach składały osoby obce lub instytucje. </w:t>
      </w:r>
    </w:p>
    <w:p w:rsidR="00976D7F" w:rsidRDefault="00976D7F">
      <w:pPr>
        <w:spacing w:line="240" w:lineRule="auto"/>
        <w:jc w:val="both"/>
        <w:rPr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b/>
          <w:sz w:val="20"/>
          <w:szCs w:val="20"/>
        </w:rPr>
      </w:pPr>
      <w:r>
        <w:rPr>
          <w:sz w:val="20"/>
          <w:szCs w:val="20"/>
        </w:rPr>
        <w:t>Jednocześnie z akt wynika, że</w:t>
      </w:r>
      <w:r>
        <w:rPr>
          <w:b/>
          <w:sz w:val="20"/>
          <w:szCs w:val="20"/>
        </w:rPr>
        <w:t xml:space="preserve"> dzieci,</w:t>
      </w:r>
      <w:r>
        <w:rPr>
          <w:b/>
          <w:sz w:val="20"/>
          <w:szCs w:val="20"/>
        </w:rPr>
        <w:t xml:space="preserve"> które zamieszkiwały wspólnie z oskarżonym i osobą pokrzywdzoną, często nie były traktowane jako osoby pokrzywdzone</w:t>
      </w:r>
      <w:r>
        <w:rPr>
          <w:sz w:val="20"/>
          <w:szCs w:val="20"/>
        </w:rPr>
        <w:t xml:space="preserve"> (aż 66 spraw). Trudno uznać, że faktycznie nie doświadczały one panującej w domu przemocy. Są to niepokojące obserwacje, które prowadzą do w</w:t>
      </w:r>
      <w:r>
        <w:rPr>
          <w:sz w:val="20"/>
          <w:szCs w:val="20"/>
        </w:rPr>
        <w:t xml:space="preserve">niosku, że przemoc osób dorosłych wobec dzieci nadal pozostaje szarą strefą, której skalę trudno zmierzyć. </w:t>
      </w:r>
      <w:r>
        <w:rPr>
          <w:b/>
          <w:sz w:val="20"/>
          <w:szCs w:val="20"/>
        </w:rPr>
        <w:t>Wymiar sprawiedliwości nie pełni więc obecnie swojej funkcji wymierzania sprawiedliwości i prewencji przemocy wobec najsłabszych członków naszego spo</w:t>
      </w:r>
      <w:r>
        <w:rPr>
          <w:b/>
          <w:sz w:val="20"/>
          <w:szCs w:val="20"/>
        </w:rPr>
        <w:t>łeczeństwa.</w:t>
      </w:r>
    </w:p>
    <w:p w:rsidR="00976D7F" w:rsidRDefault="00976D7F">
      <w:pPr>
        <w:spacing w:line="240" w:lineRule="auto"/>
        <w:jc w:val="both"/>
        <w:rPr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Według statystyk Komendy Głównej Policji z 2020 roku nt. procedury Niebieskiej Karty ok. 14% ofiar przemocy domowej stanowiły dzieci. Inaczej kształtują się statystyki prawomocnych </w:t>
      </w:r>
      <w:proofErr w:type="spellStart"/>
      <w:r>
        <w:rPr>
          <w:sz w:val="20"/>
          <w:szCs w:val="20"/>
        </w:rPr>
        <w:t>skazań</w:t>
      </w:r>
      <w:proofErr w:type="spellEnd"/>
      <w:r>
        <w:rPr>
          <w:sz w:val="20"/>
          <w:szCs w:val="20"/>
        </w:rPr>
        <w:t xml:space="preserve"> dorosłych za przestępstwo znęcania się opublikowane w I</w:t>
      </w:r>
      <w:r>
        <w:rPr>
          <w:sz w:val="20"/>
          <w:szCs w:val="20"/>
        </w:rPr>
        <w:t xml:space="preserve">nformatorze Statystycznym Wymiaru Sprawiedliwości. W tym przypadku odsetek spraw, które zakończyły się prawomocnym skazaniem a osobami pokrzywdzonymi byli małoletni, jest </w:t>
      </w:r>
      <w:r>
        <w:rPr>
          <w:b/>
          <w:sz w:val="20"/>
          <w:szCs w:val="20"/>
        </w:rPr>
        <w:t>dziesięciokrotnie niższy</w:t>
      </w:r>
      <w:r>
        <w:rPr>
          <w:sz w:val="20"/>
          <w:szCs w:val="20"/>
        </w:rPr>
        <w:t>. Może to oznaczać, że wiele aktów przemocy wobec dzieci pozo</w:t>
      </w:r>
      <w:r>
        <w:rPr>
          <w:sz w:val="20"/>
          <w:szCs w:val="20"/>
        </w:rPr>
        <w:t>staje nieujawnionych lub pominiętych przez organy prowadzące postępowanie karne.</w:t>
      </w:r>
    </w:p>
    <w:p w:rsidR="00976D7F" w:rsidRDefault="00976D7F">
      <w:pPr>
        <w:spacing w:line="240" w:lineRule="auto"/>
        <w:jc w:val="both"/>
        <w:rPr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Chcemy karać surowo, ale sami nie zawsze reagujemy na przemoc</w:t>
      </w:r>
    </w:p>
    <w:p w:rsidR="00976D7F" w:rsidRDefault="00976D7F">
      <w:pPr>
        <w:spacing w:line="240" w:lineRule="auto"/>
        <w:jc w:val="both"/>
        <w:rPr>
          <w:b/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sz w:val="20"/>
          <w:szCs w:val="20"/>
        </w:rPr>
      </w:pPr>
      <w:bookmarkStart w:id="0" w:name="_heading=h.gjdgxs" w:colFirst="0" w:colLast="0"/>
      <w:bookmarkEnd w:id="0"/>
      <w:r>
        <w:rPr>
          <w:sz w:val="20"/>
          <w:szCs w:val="20"/>
        </w:rPr>
        <w:t xml:space="preserve">Aż 44% ankietowanych Polaków było zdania, że </w:t>
      </w:r>
      <w:r>
        <w:rPr>
          <w:b/>
          <w:sz w:val="20"/>
          <w:szCs w:val="20"/>
        </w:rPr>
        <w:t>wyroki sądów w Polsce są zbyt łagodne dla sprawców przestępstw</w:t>
      </w:r>
      <w:r>
        <w:rPr>
          <w:sz w:val="20"/>
          <w:szCs w:val="20"/>
        </w:rPr>
        <w:t xml:space="preserve">. Jednocześnie, sceptyczny jest nasz stosunek do możliwości poprawy sprawców przemocy domowej. Aż 42% ankietowanych stwierdziło, że </w:t>
      </w:r>
      <w:r>
        <w:rPr>
          <w:b/>
          <w:sz w:val="20"/>
          <w:szCs w:val="20"/>
        </w:rPr>
        <w:t>nie ma szansy, aby sprawca przemocy domowej zmienił się na lepsze</w:t>
      </w:r>
      <w:r>
        <w:rPr>
          <w:sz w:val="20"/>
          <w:szCs w:val="20"/>
        </w:rPr>
        <w:t>. Dodatkowo dużo surowiej oceniamy sprawców-mężczyzn, niezależnie od okoliczności sprawy. Taka postawa może stanowić istotną barierę dla efektywnej pracy terapeutyczno-korekcyjnej ze sprawcami przemocy domowej w Polsce.</w:t>
      </w:r>
    </w:p>
    <w:p w:rsidR="00976D7F" w:rsidRDefault="00976D7F">
      <w:pPr>
        <w:spacing w:line="240" w:lineRule="auto"/>
        <w:jc w:val="both"/>
        <w:rPr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Niemal </w:t>
      </w:r>
      <w:r>
        <w:rPr>
          <w:b/>
          <w:sz w:val="20"/>
          <w:szCs w:val="20"/>
        </w:rPr>
        <w:t xml:space="preserve">połowa z nas zlekceważyłaby </w:t>
      </w:r>
      <w:r>
        <w:rPr>
          <w:b/>
          <w:sz w:val="20"/>
          <w:szCs w:val="20"/>
        </w:rPr>
        <w:t>dostrzeżone przejawy przemocy ekonomicznej</w:t>
      </w:r>
      <w:r>
        <w:rPr>
          <w:sz w:val="20"/>
          <w:szCs w:val="20"/>
        </w:rPr>
        <w:t>. Poważniej podchodzimy do przemocy psychicznej: średnio tylko co dziesiąty badany skłonny był takie zachowanie zlekceważyć, zaś dominującą reakcją byłaby sąsiedzka rozmowa z osobą podejrzewaną o przemoc. Ankietowa</w:t>
      </w:r>
      <w:r>
        <w:rPr>
          <w:sz w:val="20"/>
          <w:szCs w:val="20"/>
        </w:rPr>
        <w:t>ni najpoważniej traktowali przemoc fizyczną. Tu dominującą formą reakcji było zgłoszenie na policję (ogółem 68%) lub do pomocy społecznej (19,4%). Tylko co dwudziesty respondent zadeklarował, że w żaden sposób by nie interweniował, zaś co czternasty uznał,</w:t>
      </w:r>
      <w:r>
        <w:rPr>
          <w:sz w:val="20"/>
          <w:szCs w:val="20"/>
        </w:rPr>
        <w:t xml:space="preserve"> że w tej drastycznej sytuacji wystarczyłaby sąsiedzka rozmowa.</w:t>
      </w:r>
    </w:p>
    <w:p w:rsidR="00976D7F" w:rsidRDefault="00976D7F">
      <w:pPr>
        <w:spacing w:line="240" w:lineRule="auto"/>
        <w:jc w:val="both"/>
        <w:rPr>
          <w:sz w:val="20"/>
          <w:szCs w:val="20"/>
        </w:rPr>
      </w:pPr>
    </w:p>
    <w:p w:rsidR="00976D7F" w:rsidRDefault="005937BC">
      <w:pPr>
        <w:spacing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Niewykorzystany potencjał oddziaływań na sprawców przemocy</w:t>
      </w:r>
    </w:p>
    <w:p w:rsidR="00976D7F" w:rsidRDefault="00976D7F">
      <w:pPr>
        <w:spacing w:line="240" w:lineRule="auto"/>
        <w:jc w:val="both"/>
        <w:rPr>
          <w:b/>
          <w:sz w:val="20"/>
          <w:szCs w:val="20"/>
        </w:rPr>
      </w:pPr>
    </w:p>
    <w:p w:rsidR="00976D7F" w:rsidRDefault="005937BC">
      <w:pPr>
        <w:spacing w:line="240" w:lineRule="auto"/>
        <w:jc w:val="both"/>
      </w:pPr>
      <w:r>
        <w:rPr>
          <w:sz w:val="20"/>
          <w:szCs w:val="20"/>
        </w:rPr>
        <w:t>Z wywiadów ze specjalistami zaangażowanymi w zwalczanie przemocy domowej wynika, że sędziowie i przedstawiciele organów ścigania po</w:t>
      </w:r>
      <w:r>
        <w:rPr>
          <w:sz w:val="20"/>
          <w:szCs w:val="20"/>
        </w:rPr>
        <w:t>siadają niewystarczającą wiedzę nt. zjawiska przemocy domowej. Niski odsetek sprawców kierowany na oddziaływania korekcyjno-edukacyjne powoduje także, że ośrodki, które mogą prowadzić te zajęcia, mają często trudności z zebraniem grupy i finansowaniem zaję</w:t>
      </w:r>
      <w:r>
        <w:rPr>
          <w:sz w:val="20"/>
          <w:szCs w:val="20"/>
        </w:rPr>
        <w:t xml:space="preserve">ć, które mogłyby zapobiegać ponownemu znęcaniu się w przyszłości. </w:t>
      </w:r>
    </w:p>
    <w:p w:rsidR="00976D7F" w:rsidRDefault="00976D7F">
      <w:pPr>
        <w:spacing w:line="240" w:lineRule="auto"/>
        <w:jc w:val="both"/>
      </w:pPr>
    </w:p>
    <w:p w:rsidR="00976D7F" w:rsidRDefault="00976D7F">
      <w:pPr>
        <w:spacing w:line="240" w:lineRule="auto"/>
        <w:jc w:val="both"/>
      </w:pPr>
    </w:p>
    <w:p w:rsidR="00976D7F" w:rsidRDefault="00976D7F">
      <w:pPr>
        <w:spacing w:line="240" w:lineRule="auto"/>
        <w:jc w:val="both"/>
      </w:pPr>
    </w:p>
    <w:p w:rsidR="00976D7F" w:rsidRDefault="00976D7F">
      <w:pPr>
        <w:spacing w:line="240" w:lineRule="auto"/>
        <w:jc w:val="both"/>
      </w:pPr>
    </w:p>
    <w:p w:rsidR="00976D7F" w:rsidRDefault="00976D7F">
      <w:pPr>
        <w:spacing w:line="240" w:lineRule="auto"/>
        <w:jc w:val="both"/>
      </w:pPr>
    </w:p>
    <w:p w:rsidR="00976D7F" w:rsidRDefault="00976D7F">
      <w:pPr>
        <w:spacing w:line="240" w:lineRule="auto"/>
        <w:jc w:val="both"/>
      </w:pPr>
    </w:p>
    <w:p w:rsidR="00976D7F" w:rsidRDefault="005937BC">
      <w:pPr>
        <w:spacing w:line="240" w:lineRule="auto"/>
        <w:jc w:val="both"/>
      </w:pPr>
      <w:r>
        <w:t xml:space="preserve">Kontakt dla mediów: Daria Hofman, tel. 507 149 624, </w:t>
      </w:r>
      <w:hyperlink r:id="rId7">
        <w:r>
          <w:rPr>
            <w:color w:val="000080"/>
            <w:u w:val="single"/>
          </w:rPr>
          <w:t>d.hofman@courtwatch.pl</w:t>
        </w:r>
      </w:hyperlink>
      <w:r>
        <w:t xml:space="preserve"> </w:t>
      </w:r>
    </w:p>
    <w:p w:rsidR="00976D7F" w:rsidRDefault="00976D7F">
      <w:pPr>
        <w:spacing w:line="240" w:lineRule="auto"/>
        <w:jc w:val="both"/>
      </w:pPr>
    </w:p>
    <w:p w:rsidR="00976D7F" w:rsidRDefault="005937BC">
      <w:pPr>
        <w:spacing w:line="240" w:lineRule="auto"/>
        <w:jc w:val="both"/>
        <w:rPr>
          <w:i/>
          <w:color w:val="7F7F7F"/>
          <w:sz w:val="20"/>
          <w:szCs w:val="20"/>
        </w:rPr>
      </w:pPr>
      <w:r>
        <w:rPr>
          <w:i/>
          <w:color w:val="7F7F7F"/>
          <w:sz w:val="20"/>
          <w:szCs w:val="20"/>
        </w:rPr>
        <w:t>Raport powstał dzięki dotacji programu Program Aktywni Ob</w:t>
      </w:r>
      <w:r>
        <w:rPr>
          <w:i/>
          <w:color w:val="7F7F7F"/>
          <w:sz w:val="20"/>
          <w:szCs w:val="20"/>
        </w:rPr>
        <w:t>ywatele – Fundusz Krajowy finansowanego z Funduszy EOG.</w:t>
      </w:r>
    </w:p>
    <w:p w:rsidR="00C20674" w:rsidRDefault="00C20674" w:rsidP="00C20674">
      <w:pPr>
        <w:spacing w:line="240" w:lineRule="auto"/>
        <w:jc w:val="center"/>
        <w:rPr>
          <w:i/>
          <w:color w:val="7F7F7F"/>
        </w:rPr>
      </w:pPr>
      <w:bookmarkStart w:id="1" w:name="_GoBack"/>
      <w:r>
        <w:rPr>
          <w:i/>
          <w:noProof/>
          <w:color w:val="7F7F7F"/>
          <w:lang w:eastAsia="pl-PL" w:bidi="ar-SA"/>
        </w:rPr>
        <w:drawing>
          <wp:inline distT="0" distB="0" distL="0" distR="0">
            <wp:extent cx="1941195" cy="680659"/>
            <wp:effectExtent l="0" t="0" r="1905" b="571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tive-citizens-fund@4x-1024x359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279" cy="683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C2067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567" w:footer="724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37BC" w:rsidRDefault="005937BC">
      <w:pPr>
        <w:spacing w:line="240" w:lineRule="auto"/>
      </w:pPr>
      <w:r>
        <w:separator/>
      </w:r>
    </w:p>
  </w:endnote>
  <w:endnote w:type="continuationSeparator" w:id="0">
    <w:p w:rsidR="005937BC" w:rsidRDefault="005937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swald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6D7F" w:rsidRDefault="00976D7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6D7F" w:rsidRDefault="005937BC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76" w:lineRule="auto"/>
      <w:jc w:val="center"/>
      <w:rPr>
        <w:color w:val="595959"/>
      </w:rPr>
    </w:pPr>
    <w:r>
      <w:rPr>
        <w:color w:val="595959"/>
      </w:rPr>
      <w:t xml:space="preserve">Fundacja Court Watch Polska z siedzibą przy ul. Szosa Chełmińska 54/2 w Toruniu, </w:t>
    </w:r>
    <w:r>
      <w:rPr>
        <w:color w:val="595959"/>
      </w:rPr>
      <w:br/>
      <w:t>zarejestrowana w VII Wydziale Sądu Rejonowego w Toruniu pod numerem KRS 0000353330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6D7F" w:rsidRDefault="00976D7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37BC" w:rsidRDefault="005937BC">
      <w:pPr>
        <w:spacing w:line="240" w:lineRule="auto"/>
      </w:pPr>
      <w:r>
        <w:separator/>
      </w:r>
    </w:p>
  </w:footnote>
  <w:footnote w:type="continuationSeparator" w:id="0">
    <w:p w:rsidR="005937BC" w:rsidRDefault="005937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6D7F" w:rsidRDefault="00976D7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6D7F" w:rsidRDefault="00976D7F">
    <w:pPr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1"/>
      <w:tblW w:w="9356" w:type="dxa"/>
      <w:tblInd w:w="0" w:type="dxa"/>
      <w:tblBorders>
        <w:bottom w:val="single" w:sz="8" w:space="0" w:color="000000"/>
      </w:tblBorders>
      <w:tblLayout w:type="fixed"/>
      <w:tblLook w:val="0000" w:firstRow="0" w:lastRow="0" w:firstColumn="0" w:lastColumn="0" w:noHBand="0" w:noVBand="0"/>
    </w:tblPr>
    <w:tblGrid>
      <w:gridCol w:w="2835"/>
      <w:gridCol w:w="2268"/>
      <w:gridCol w:w="4253"/>
    </w:tblGrid>
    <w:tr w:rsidR="00976D7F">
      <w:trPr>
        <w:trHeight w:val="1227"/>
      </w:trPr>
      <w:tc>
        <w:tcPr>
          <w:tcW w:w="2835" w:type="dxa"/>
          <w:shd w:val="clear" w:color="auto" w:fill="auto"/>
        </w:tcPr>
        <w:p w:rsidR="00976D7F" w:rsidRDefault="005937BC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</w:rPr>
          </w:pPr>
          <w:r>
            <w:rPr>
              <w:noProof/>
              <w:color w:val="000000"/>
              <w:lang w:eastAsia="pl-PL" w:bidi="ar-SA"/>
            </w:rPr>
            <w:drawing>
              <wp:inline distT="0" distB="0" distL="0" distR="0">
                <wp:extent cx="1570660" cy="631210"/>
                <wp:effectExtent l="0" t="0" r="0" b="0"/>
                <wp:docPr id="4" name="image1.png" descr="C:\Users\Ewelina\Desktop\materiały na szkolenie\logo FCWP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C:\Users\Ewelina\Desktop\materiały na szkolenie\logo FCWP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70660" cy="63121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68" w:type="dxa"/>
          <w:shd w:val="clear" w:color="auto" w:fill="auto"/>
        </w:tcPr>
        <w:p w:rsidR="00976D7F" w:rsidRDefault="005937BC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jc w:val="right"/>
            <w:rPr>
              <w:color w:val="000000"/>
            </w:rPr>
          </w:pPr>
          <w:r>
            <w:rPr>
              <w:color w:val="000000"/>
            </w:rPr>
            <w:t>adres biura:</w:t>
          </w:r>
        </w:p>
        <w:p w:rsidR="00976D7F" w:rsidRDefault="005937BC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jc w:val="right"/>
            <w:rPr>
              <w:color w:val="000000"/>
            </w:rPr>
          </w:pPr>
          <w:r>
            <w:rPr>
              <w:color w:val="000000"/>
            </w:rPr>
            <w:t xml:space="preserve">kontakt: </w:t>
          </w:r>
          <w:r>
            <w:rPr>
              <w:color w:val="000000"/>
            </w:rPr>
            <w:br/>
            <w:t xml:space="preserve">e-mail: </w:t>
          </w:r>
        </w:p>
        <w:p w:rsidR="00976D7F" w:rsidRDefault="005937BC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jc w:val="right"/>
            <w:rPr>
              <w:color w:val="000000"/>
            </w:rPr>
          </w:pPr>
          <w:r>
            <w:rPr>
              <w:color w:val="000000"/>
            </w:rPr>
            <w:t>www:</w:t>
          </w:r>
        </w:p>
      </w:tc>
      <w:tc>
        <w:tcPr>
          <w:tcW w:w="4253" w:type="dxa"/>
          <w:shd w:val="clear" w:color="auto" w:fill="auto"/>
        </w:tcPr>
        <w:p w:rsidR="00976D7F" w:rsidRDefault="005937BC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rPr>
              <w:color w:val="000000"/>
            </w:rPr>
          </w:pPr>
          <w:r>
            <w:rPr>
              <w:color w:val="000000"/>
            </w:rPr>
            <w:t>ul. Moniuszki 5/8, 87-100 Toruń</w:t>
          </w:r>
        </w:p>
        <w:p w:rsidR="00976D7F" w:rsidRDefault="005937BC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rPr>
              <w:color w:val="000000"/>
            </w:rPr>
          </w:pPr>
          <w:r>
            <w:rPr>
              <w:color w:val="000000"/>
            </w:rPr>
            <w:t>tel. 533-205-014, fax. (56) 696 50 52</w:t>
          </w:r>
        </w:p>
        <w:p w:rsidR="00976D7F" w:rsidRDefault="005937BC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rPr>
              <w:color w:val="000000"/>
            </w:rPr>
          </w:pPr>
          <w:r>
            <w:rPr>
              <w:color w:val="000000"/>
            </w:rPr>
            <w:t>info@courtwatch.pl</w:t>
          </w:r>
        </w:p>
        <w:p w:rsidR="00976D7F" w:rsidRDefault="005937BC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rPr>
              <w:color w:val="000000"/>
            </w:rPr>
          </w:pPr>
          <w:r>
            <w:rPr>
              <w:color w:val="000000"/>
            </w:rPr>
            <w:t>courtwatch.pl</w:t>
          </w:r>
        </w:p>
      </w:tc>
    </w:tr>
  </w:tbl>
  <w:p w:rsidR="00976D7F" w:rsidRDefault="00976D7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6D7F" w:rsidRDefault="00976D7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D7F"/>
    <w:rsid w:val="005937BC"/>
    <w:rsid w:val="00976D7F"/>
    <w:rsid w:val="00C2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432365-8437-43E0-951C-88D08D64D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Palatino Linotype" w:eastAsia="Palatino Linotype" w:hAnsi="Palatino Linotype" w:cs="Palatino Linotype"/>
        <w:sz w:val="22"/>
        <w:szCs w:val="22"/>
        <w:lang w:val="pl-PL" w:eastAsia="pl-PL" w:bidi="ar-SA"/>
      </w:rPr>
    </w:rPrDefault>
    <w:pPrDefault>
      <w:pPr>
        <w:widowControl w:val="0"/>
        <w:tabs>
          <w:tab w:val="left" w:pos="5522"/>
        </w:tabs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F16DF"/>
    <w:pPr>
      <w:suppressAutoHyphens/>
    </w:pPr>
    <w:rPr>
      <w:rFonts w:eastAsia="SimSun" w:cs="Mangal"/>
      <w:kern w:val="1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5DDF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Nagwek2">
    <w:name w:val="heading 2"/>
    <w:basedOn w:val="Normalny"/>
    <w:link w:val="Nagwek2Znak"/>
    <w:uiPriority w:val="9"/>
    <w:semiHidden/>
    <w:unhideWhenUsed/>
    <w:qFormat/>
    <w:rsid w:val="008250A6"/>
    <w:pPr>
      <w:widowControl/>
      <w:tabs>
        <w:tab w:val="clear" w:pos="5522"/>
      </w:tabs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 w:bidi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link w:val="TytuZnak"/>
    <w:uiPriority w:val="10"/>
    <w:qFormat/>
    <w:rsid w:val="00A17B44"/>
    <w:pPr>
      <w:widowControl/>
      <w:tabs>
        <w:tab w:val="clear" w:pos="5522"/>
      </w:tabs>
      <w:suppressAutoHyphens w:val="0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pl-PL" w:bidi="ar-SA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W8Num1z0">
    <w:name w:val="WW8Num1z0"/>
    <w:rsid w:val="00541D0F"/>
    <w:rPr>
      <w:rFonts w:ascii="Symbol" w:hAnsi="Symbol" w:cs="OpenSymbol"/>
    </w:rPr>
  </w:style>
  <w:style w:type="character" w:customStyle="1" w:styleId="WW8Num1z1">
    <w:name w:val="WW8Num1z1"/>
    <w:rsid w:val="00541D0F"/>
    <w:rPr>
      <w:rFonts w:ascii="OpenSymbol" w:hAnsi="OpenSymbol" w:cs="OpenSymbol"/>
    </w:rPr>
  </w:style>
  <w:style w:type="character" w:customStyle="1" w:styleId="WW8Num2z0">
    <w:name w:val="WW8Num2z0"/>
    <w:rsid w:val="00541D0F"/>
    <w:rPr>
      <w:rFonts w:ascii="Symbol" w:hAnsi="Symbol" w:cs="OpenSymbol"/>
    </w:rPr>
  </w:style>
  <w:style w:type="character" w:customStyle="1" w:styleId="WW8Num2z1">
    <w:name w:val="WW8Num2z1"/>
    <w:rsid w:val="00541D0F"/>
    <w:rPr>
      <w:rFonts w:ascii="OpenSymbol" w:hAnsi="OpenSymbol" w:cs="OpenSymbol"/>
    </w:rPr>
  </w:style>
  <w:style w:type="character" w:customStyle="1" w:styleId="Absatz-Standardschriftart">
    <w:name w:val="Absatz-Standardschriftart"/>
    <w:rsid w:val="00541D0F"/>
  </w:style>
  <w:style w:type="character" w:customStyle="1" w:styleId="WW-Absatz-Standardschriftart">
    <w:name w:val="WW-Absatz-Standardschriftart"/>
    <w:rsid w:val="00541D0F"/>
  </w:style>
  <w:style w:type="character" w:customStyle="1" w:styleId="WW-Absatz-Standardschriftart1">
    <w:name w:val="WW-Absatz-Standardschriftart1"/>
    <w:rsid w:val="00541D0F"/>
  </w:style>
  <w:style w:type="character" w:customStyle="1" w:styleId="WW-Absatz-Standardschriftart11">
    <w:name w:val="WW-Absatz-Standardschriftart11"/>
    <w:rsid w:val="00541D0F"/>
  </w:style>
  <w:style w:type="character" w:customStyle="1" w:styleId="WW8Num3z0">
    <w:name w:val="WW8Num3z0"/>
    <w:rsid w:val="00541D0F"/>
    <w:rPr>
      <w:rFonts w:ascii="Symbol" w:hAnsi="Symbol" w:cs="OpenSymbol"/>
    </w:rPr>
  </w:style>
  <w:style w:type="character" w:customStyle="1" w:styleId="WW-Absatz-Standardschriftart111">
    <w:name w:val="WW-Absatz-Standardschriftart111"/>
    <w:rsid w:val="00541D0F"/>
  </w:style>
  <w:style w:type="character" w:customStyle="1" w:styleId="WW-Absatz-Standardschriftart1111">
    <w:name w:val="WW-Absatz-Standardschriftart1111"/>
    <w:rsid w:val="00541D0F"/>
  </w:style>
  <w:style w:type="character" w:customStyle="1" w:styleId="WW-Absatz-Standardschriftart11111">
    <w:name w:val="WW-Absatz-Standardschriftart11111"/>
    <w:rsid w:val="00541D0F"/>
  </w:style>
  <w:style w:type="character" w:customStyle="1" w:styleId="WW-Absatz-Standardschriftart111111">
    <w:name w:val="WW-Absatz-Standardschriftart111111"/>
    <w:rsid w:val="00541D0F"/>
  </w:style>
  <w:style w:type="character" w:customStyle="1" w:styleId="WW-Absatz-Standardschriftart1111111">
    <w:name w:val="WW-Absatz-Standardschriftart1111111"/>
    <w:rsid w:val="00541D0F"/>
  </w:style>
  <w:style w:type="character" w:customStyle="1" w:styleId="WW-Absatz-Standardschriftart11111111">
    <w:name w:val="WW-Absatz-Standardschriftart11111111"/>
    <w:rsid w:val="00541D0F"/>
  </w:style>
  <w:style w:type="character" w:customStyle="1" w:styleId="WW-Absatz-Standardschriftart111111111">
    <w:name w:val="WW-Absatz-Standardschriftart111111111"/>
    <w:rsid w:val="00541D0F"/>
  </w:style>
  <w:style w:type="character" w:customStyle="1" w:styleId="WW-Absatz-Standardschriftart1111111111">
    <w:name w:val="WW-Absatz-Standardschriftart1111111111"/>
    <w:rsid w:val="00541D0F"/>
  </w:style>
  <w:style w:type="character" w:customStyle="1" w:styleId="WW-Absatz-Standardschriftart11111111111">
    <w:name w:val="WW-Absatz-Standardschriftart11111111111"/>
    <w:rsid w:val="00541D0F"/>
  </w:style>
  <w:style w:type="character" w:customStyle="1" w:styleId="WW-Absatz-Standardschriftart111111111111">
    <w:name w:val="WW-Absatz-Standardschriftart111111111111"/>
    <w:rsid w:val="00541D0F"/>
  </w:style>
  <w:style w:type="character" w:customStyle="1" w:styleId="WW-Absatz-Standardschriftart1111111111111">
    <w:name w:val="WW-Absatz-Standardschriftart1111111111111"/>
    <w:rsid w:val="00541D0F"/>
  </w:style>
  <w:style w:type="character" w:customStyle="1" w:styleId="WW-Absatz-Standardschriftart11111111111111">
    <w:name w:val="WW-Absatz-Standardschriftart11111111111111"/>
    <w:rsid w:val="00541D0F"/>
  </w:style>
  <w:style w:type="character" w:styleId="Hipercze">
    <w:name w:val="Hyperlink"/>
    <w:rsid w:val="00541D0F"/>
    <w:rPr>
      <w:color w:val="000080"/>
      <w:u w:val="single"/>
    </w:rPr>
  </w:style>
  <w:style w:type="character" w:customStyle="1" w:styleId="Znakinumeracji">
    <w:name w:val="Znaki numeracji"/>
    <w:rsid w:val="00541D0F"/>
  </w:style>
  <w:style w:type="character" w:customStyle="1" w:styleId="Symbolewypunktowania">
    <w:name w:val="Symbole wypunktowania"/>
    <w:rsid w:val="00541D0F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Tekstpodstawowy"/>
    <w:rsid w:val="00541D0F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rsid w:val="00541D0F"/>
    <w:pPr>
      <w:spacing w:after="120"/>
    </w:pPr>
  </w:style>
  <w:style w:type="paragraph" w:styleId="Lista">
    <w:name w:val="List"/>
    <w:basedOn w:val="Tekstpodstawowy"/>
    <w:rsid w:val="00541D0F"/>
  </w:style>
  <w:style w:type="paragraph" w:customStyle="1" w:styleId="Podpis1">
    <w:name w:val="Podpis1"/>
    <w:basedOn w:val="Normalny"/>
    <w:rsid w:val="00541D0F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541D0F"/>
    <w:pPr>
      <w:suppressLineNumbers/>
    </w:pPr>
  </w:style>
  <w:style w:type="paragraph" w:customStyle="1" w:styleId="Zawartotabeli">
    <w:name w:val="Zawartość tabeli"/>
    <w:basedOn w:val="Normalny"/>
    <w:rsid w:val="00541D0F"/>
    <w:pPr>
      <w:suppressLineNumbers/>
    </w:pPr>
  </w:style>
  <w:style w:type="paragraph" w:styleId="Nagwek">
    <w:name w:val="header"/>
    <w:basedOn w:val="Normalny"/>
    <w:rsid w:val="00541D0F"/>
    <w:pPr>
      <w:suppressLineNumbers/>
      <w:tabs>
        <w:tab w:val="center" w:pos="4819"/>
        <w:tab w:val="right" w:pos="9638"/>
      </w:tabs>
    </w:pPr>
  </w:style>
  <w:style w:type="paragraph" w:customStyle="1" w:styleId="Zawartoramki">
    <w:name w:val="Zawartość ramki"/>
    <w:basedOn w:val="Tekstpodstawowy"/>
    <w:rsid w:val="00541D0F"/>
  </w:style>
  <w:style w:type="paragraph" w:styleId="Stopka">
    <w:name w:val="footer"/>
    <w:basedOn w:val="Normalny"/>
    <w:rsid w:val="00541D0F"/>
    <w:pPr>
      <w:suppressLineNumbers/>
      <w:tabs>
        <w:tab w:val="center" w:pos="4819"/>
        <w:tab w:val="right" w:pos="9638"/>
      </w:tabs>
    </w:pPr>
  </w:style>
  <w:style w:type="paragraph" w:customStyle="1" w:styleId="Nagwektabeli">
    <w:name w:val="Nagłówek tabeli"/>
    <w:basedOn w:val="Zawartotabeli"/>
    <w:rsid w:val="00541D0F"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A942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8B6F61"/>
    <w:pPr>
      <w:suppressAutoHyphens/>
      <w:autoSpaceDN w:val="0"/>
    </w:pPr>
    <w:rPr>
      <w:rFonts w:eastAsia="SimSu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2B31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2B31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5F87"/>
    <w:pPr>
      <w:spacing w:line="240" w:lineRule="auto"/>
    </w:pPr>
    <w:rPr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5F87"/>
    <w:rPr>
      <w:rFonts w:ascii="Palatino Linotype" w:eastAsia="SimSun" w:hAnsi="Palatino Linotype" w:cs="Mangal"/>
      <w:kern w:val="1"/>
      <w:szCs w:val="18"/>
      <w:lang w:eastAsia="hi-IN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5F87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8250A6"/>
    <w:rPr>
      <w:b/>
      <w:bCs/>
      <w:sz w:val="36"/>
      <w:szCs w:val="36"/>
    </w:rPr>
  </w:style>
  <w:style w:type="paragraph" w:styleId="Bezodstpw">
    <w:name w:val="No Spacing"/>
    <w:uiPriority w:val="1"/>
    <w:qFormat/>
    <w:rsid w:val="00C2587F"/>
    <w:pPr>
      <w:suppressAutoHyphens/>
    </w:pPr>
    <w:rPr>
      <w:rFonts w:eastAsia="SimSun" w:cs="Mangal"/>
      <w:kern w:val="1"/>
      <w:lang w:eastAsia="hi-IN" w:bidi="hi-IN"/>
    </w:rPr>
  </w:style>
  <w:style w:type="character" w:styleId="Pogrubienie">
    <w:name w:val="Strong"/>
    <w:basedOn w:val="Domylnaczcionkaakapitu"/>
    <w:uiPriority w:val="22"/>
    <w:qFormat/>
    <w:rsid w:val="00603584"/>
    <w:rPr>
      <w:b/>
      <w:bCs/>
    </w:rPr>
  </w:style>
  <w:style w:type="character" w:customStyle="1" w:styleId="il">
    <w:name w:val="il"/>
    <w:basedOn w:val="Domylnaczcionkaakapitu"/>
    <w:rsid w:val="000F4AB9"/>
  </w:style>
  <w:style w:type="character" w:customStyle="1" w:styleId="hoenzb">
    <w:name w:val="hoenzb"/>
    <w:basedOn w:val="Domylnaczcionkaakapitu"/>
    <w:rsid w:val="004F4B13"/>
  </w:style>
  <w:style w:type="paragraph" w:styleId="Akapitzlist">
    <w:name w:val="List Paragraph"/>
    <w:basedOn w:val="Normalny"/>
    <w:uiPriority w:val="34"/>
    <w:qFormat/>
    <w:rsid w:val="00B20672"/>
    <w:pPr>
      <w:ind w:left="720"/>
      <w:contextualSpacing/>
    </w:pPr>
    <w:rPr>
      <w:szCs w:val="20"/>
    </w:rPr>
  </w:style>
  <w:style w:type="paragraph" w:customStyle="1" w:styleId="Text">
    <w:name w:val="Text"/>
    <w:basedOn w:val="Normalny"/>
    <w:rsid w:val="00B82E3E"/>
    <w:pPr>
      <w:widowControl/>
      <w:tabs>
        <w:tab w:val="clear" w:pos="5522"/>
      </w:tabs>
      <w:spacing w:after="240" w:line="240" w:lineRule="auto"/>
      <w:ind w:firstLine="1440"/>
    </w:pPr>
    <w:rPr>
      <w:rFonts w:ascii="Times New Roman" w:eastAsia="Times New Roman" w:hAnsi="Times New Roman" w:cs="Times New Roman"/>
      <w:kern w:val="0"/>
      <w:sz w:val="24"/>
      <w:szCs w:val="20"/>
      <w:lang w:val="en-US" w:eastAsia="ar-SA" w:bidi="ar-SA"/>
    </w:rPr>
  </w:style>
  <w:style w:type="character" w:customStyle="1" w:styleId="Nagwek1Znak">
    <w:name w:val="Nagłówek 1 Znak"/>
    <w:basedOn w:val="Domylnaczcionkaakapitu"/>
    <w:link w:val="Nagwek1"/>
    <w:uiPriority w:val="9"/>
    <w:rsid w:val="00AB5DDF"/>
    <w:rPr>
      <w:rFonts w:asciiTheme="majorHAnsi" w:eastAsiaTheme="majorEastAsia" w:hAnsiTheme="majorHAnsi" w:cs="Mangal"/>
      <w:b/>
      <w:bCs/>
      <w:color w:val="365F91" w:themeColor="accent1" w:themeShade="BF"/>
      <w:kern w:val="1"/>
      <w:sz w:val="28"/>
      <w:szCs w:val="25"/>
      <w:lang w:eastAsia="hi-IN" w:bidi="hi-IN"/>
    </w:rPr>
  </w:style>
  <w:style w:type="character" w:customStyle="1" w:styleId="TytuZnak">
    <w:name w:val="Tytuł Znak"/>
    <w:basedOn w:val="Domylnaczcionkaakapitu"/>
    <w:link w:val="Tytu"/>
    <w:rsid w:val="00A17B44"/>
    <w:rPr>
      <w:b/>
      <w:bCs/>
      <w:sz w:val="28"/>
      <w:szCs w:val="28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d.hofman@courtwatch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9rJg2nGUuek6LY96d4FP68vMew==">AMUW2mUIUvEBBnq0/ySeCsKSJPGRC21jJf/fG4BXpPAa7g9MTeiPzKIrOzzUEUHx0taqrJ5M8elxsOcvILjbnRrXBgB0qm08komjqnkDjr4QDG0spRSxsjTb2OQ2KmrqHyFsHVQPrW6ab1XUsArnWj52lUN2hZcBSgZpUqDqNxQVTdswJS92Vaov9FwErn8661Yjc/KNR6YpxVvKphe52TUvyUNCKv/HEf2joLclhW5xxjULXXjS3vWcffYDKeyJV6rKUyK6qebSpjoiiw8V/ajVV1WomtOQkusJQfyLEwgBdHn1/VVket+xPm3SgL2no5JXn3+KGfWmindFUYAlRDgsk4XbkcW5za06qETmELV2EFVs8x8uAapQTde8xN4b7Si5MEPrdbtXKjQaFGV0RjO7f2/GsyhpMqPwjdMuEW7QHW9rxZjpkjJ7SCWt7l8aNvI3xFt4NJ/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905</Words>
  <Characters>5434</Characters>
  <Application>Microsoft Office Word</Application>
  <DocSecurity>0</DocSecurity>
  <Lines>45</Lines>
  <Paragraphs>12</Paragraphs>
  <ScaleCrop>false</ScaleCrop>
  <Company/>
  <LinksUpToDate>false</LinksUpToDate>
  <CharactersWithSpaces>6327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Dawid</dc:creator>
  <cp:lastModifiedBy>Daria Hofman</cp:lastModifiedBy>
  <cp:revision>2</cp:revision>
  <dcterms:created xsi:type="dcterms:W3CDTF">2021-04-19T16:42:00Z</dcterms:created>
  <dcterms:modified xsi:type="dcterms:W3CDTF">2022-03-30T09:34:00Z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American Psychological Association</vt:lpwstr>
  </property>
</Properties>
</file>